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9618" w14:textId="77777777" w:rsidR="00FA30FF" w:rsidRDefault="00FA30FF" w:rsidP="00FA30FF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D630A31" w14:textId="77777777" w:rsidR="00FA30FF" w:rsidRDefault="00FA30FF" w:rsidP="00FA30FF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7FFEB16" w14:textId="77777777" w:rsidR="00FA30FF" w:rsidRDefault="00FA30FF" w:rsidP="00FA30FF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F68165A" w14:textId="26A629C5" w:rsidR="00FA30FF" w:rsidRPr="00FA30FF" w:rsidRDefault="00FA30FF" w:rsidP="00FA30FF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מתודת המפעל ללא מפעל-חישוב מסלול מחדש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6" w:type="dxa"/>
        <w:jc w:val="center"/>
        <w:tblLook w:val="04A0" w:firstRow="1" w:lastRow="0" w:firstColumn="1" w:lastColumn="0" w:noHBand="0" w:noVBand="1"/>
      </w:tblPr>
      <w:tblGrid>
        <w:gridCol w:w="1697"/>
        <w:gridCol w:w="3553"/>
        <w:gridCol w:w="5236"/>
      </w:tblGrid>
      <w:tr w:rsidR="00FA30FF" w14:paraId="38A55DB5" w14:textId="77777777" w:rsidTr="009D108B">
        <w:trPr>
          <w:jc w:val="center"/>
        </w:trPr>
        <w:tc>
          <w:tcPr>
            <w:tcW w:w="1697" w:type="dxa"/>
            <w:shd w:val="clear" w:color="auto" w:fill="92D050"/>
          </w:tcPr>
          <w:p w14:paraId="572E6624" w14:textId="77777777" w:rsidR="00FA30FF" w:rsidRPr="00D80E86" w:rsidRDefault="00FA30FF" w:rsidP="009D108B">
            <w:pPr>
              <w:bidi/>
              <w:spacing w:after="16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80E86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המפעל</w:t>
            </w:r>
          </w:p>
        </w:tc>
        <w:tc>
          <w:tcPr>
            <w:tcW w:w="3553" w:type="dxa"/>
            <w:shd w:val="clear" w:color="auto" w:fill="92D050"/>
          </w:tcPr>
          <w:p w14:paraId="2A115F34" w14:textId="77777777" w:rsidR="00FA30FF" w:rsidRPr="00D80E86" w:rsidRDefault="00FA30FF" w:rsidP="009D108B">
            <w:pPr>
              <w:bidi/>
              <w:spacing w:after="16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שאלות מרכזיות שיסייעו לנו בחישוב מסלול מחדש</w:t>
            </w:r>
          </w:p>
        </w:tc>
        <w:tc>
          <w:tcPr>
            <w:tcW w:w="5236" w:type="dxa"/>
            <w:shd w:val="clear" w:color="auto" w:fill="92D050"/>
          </w:tcPr>
          <w:p w14:paraId="777E057C" w14:textId="77777777" w:rsidR="00FA30FF" w:rsidRPr="00D80E86" w:rsidRDefault="00FA30FF" w:rsidP="009D108B">
            <w:pPr>
              <w:bidi/>
              <w:spacing w:after="16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80E86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אלטרנטיבות</w:t>
            </w:r>
          </w:p>
        </w:tc>
      </w:tr>
      <w:tr w:rsidR="00FA30FF" w14:paraId="4E29AA4A" w14:textId="77777777" w:rsidTr="009D108B">
        <w:trPr>
          <w:jc w:val="center"/>
        </w:trPr>
        <w:tc>
          <w:tcPr>
            <w:tcW w:w="1697" w:type="dxa"/>
          </w:tcPr>
          <w:p w14:paraId="3B08C5BE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חלוקת עניבות</w:t>
            </w:r>
          </w:p>
        </w:tc>
        <w:tc>
          <w:tcPr>
            <w:tcW w:w="3553" w:type="dxa"/>
          </w:tcPr>
          <w:p w14:paraId="5A96CD75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 משמעותה של העניבה במסגרת הצופית וכיצד משמעות זו באה לידי ביטוי בשגרה (ובחירום)?</w:t>
            </w:r>
          </w:p>
        </w:tc>
        <w:tc>
          <w:tcPr>
            <w:tcW w:w="5236" w:type="dxa"/>
          </w:tcPr>
          <w:p w14:paraId="6654EDA0" w14:textId="77777777" w:rsidR="00FA30FF" w:rsidRPr="000B0FDA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0B0FDA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זמן תוכן מקדים:</w:t>
            </w:r>
            <w:r w:rsidRPr="000B0FDA">
              <w:rPr>
                <w:rFonts w:ascii="David" w:hAnsi="David" w:cs="David"/>
                <w:sz w:val="24"/>
                <w:szCs w:val="24"/>
                <w:rtl/>
              </w:rPr>
              <w:t xml:space="preserve"> מה אנ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חנ</w:t>
            </w:r>
            <w:r w:rsidRPr="000B0FDA">
              <w:rPr>
                <w:rFonts w:ascii="David" w:hAnsi="David" w:cs="David"/>
                <w:sz w:val="24"/>
                <w:szCs w:val="24"/>
                <w:rtl/>
              </w:rPr>
              <w:t xml:space="preserve">ו </w:t>
            </w:r>
            <w:proofErr w:type="spellStart"/>
            <w:r w:rsidRPr="000B0FDA">
              <w:rPr>
                <w:rFonts w:ascii="David" w:hAnsi="David" w:cs="David"/>
                <w:sz w:val="24"/>
                <w:szCs w:val="24"/>
                <w:rtl/>
              </w:rPr>
              <w:t>צריכים.ו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proofErr w:type="spellEnd"/>
            <w:r w:rsidRPr="000B0FDA">
              <w:rPr>
                <w:rFonts w:ascii="David" w:hAnsi="David" w:cs="David"/>
                <w:sz w:val="24"/>
                <w:szCs w:val="24"/>
                <w:rtl/>
              </w:rPr>
              <w:t xml:space="preserve"> אחד מהשני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0B0FDA">
              <w:rPr>
                <w:rFonts w:ascii="David" w:hAnsi="David" w:cs="David"/>
                <w:sz w:val="24"/>
                <w:szCs w:val="24"/>
                <w:rtl/>
              </w:rPr>
              <w:t>ה בתקופה הזו?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hyperlink r:id="rId6" w:history="1">
              <w:r w:rsidRPr="000B0FDA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כתיבת חוזה קבוצתי מחודש</w:t>
              </w:r>
            </w:hyperlink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632CF115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B0FDA">
              <w:rPr>
                <w:rFonts w:ascii="David" w:hAnsi="David" w:cs="David"/>
                <w:sz w:val="24"/>
                <w:szCs w:val="24"/>
                <w:u w:val="single"/>
                <w:rtl/>
              </w:rPr>
              <w:t>חלוקת עניבות</w:t>
            </w:r>
            <w:r w:rsidRPr="000B0FDA">
              <w:rPr>
                <w:rFonts w:ascii="David" w:hAnsi="David" w:cs="David"/>
                <w:sz w:val="24"/>
                <w:szCs w:val="24"/>
                <w:rtl/>
              </w:rPr>
              <w:t xml:space="preserve"> במסגרת קבוצתית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  <w:r w:rsidRPr="000B0FDA">
              <w:rPr>
                <w:rFonts w:ascii="David" w:hAnsi="David" w:cs="David"/>
                <w:sz w:val="24"/>
                <w:szCs w:val="24"/>
                <w:rtl/>
              </w:rPr>
              <w:t xml:space="preserve">במצב בו אי אפשר להיפגש פרונטלית אפשר להכין ׳חבילת טקס׳ (המכילה את העניבה, סדר הטקס, מכתב </w:t>
            </w:r>
            <w:proofErr w:type="spellStart"/>
            <w:r w:rsidRPr="000B0FDA">
              <w:rPr>
                <w:rFonts w:ascii="David" w:hAnsi="David" w:cs="David"/>
                <w:sz w:val="24"/>
                <w:szCs w:val="24"/>
                <w:rtl/>
              </w:rPr>
              <w:t>מהמדריך.ה</w:t>
            </w:r>
            <w:proofErr w:type="spellEnd"/>
            <w:r w:rsidRPr="000B0FDA">
              <w:rPr>
                <w:rFonts w:ascii="David" w:hAnsi="David" w:cs="David"/>
                <w:sz w:val="24"/>
                <w:szCs w:val="24"/>
                <w:rtl/>
              </w:rPr>
              <w:t xml:space="preserve">, החוזה הקבוצתי וכד׳), לחלק בין הבתים ולקיים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ט</w:t>
            </w:r>
            <w:r w:rsidRPr="000B0FDA">
              <w:rPr>
                <w:rFonts w:ascii="David" w:hAnsi="David" w:cs="David"/>
                <w:sz w:val="24"/>
                <w:szCs w:val="24"/>
                <w:rtl/>
              </w:rPr>
              <w:t>קס מקוון.</w:t>
            </w:r>
          </w:p>
        </w:tc>
      </w:tr>
      <w:tr w:rsidR="00FA30FF" w14:paraId="42A93E84" w14:textId="77777777" w:rsidTr="009D108B">
        <w:trPr>
          <w:jc w:val="center"/>
        </w:trPr>
        <w:tc>
          <w:tcPr>
            <w:tcW w:w="1697" w:type="dxa"/>
          </w:tcPr>
          <w:p w14:paraId="2F76B5CC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יום צופה</w:t>
            </w:r>
          </w:p>
        </w:tc>
        <w:tc>
          <w:tcPr>
            <w:tcW w:w="3553" w:type="dxa"/>
          </w:tcPr>
          <w:p w14:paraId="78290F93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למה לקיים יום צופה?</w:t>
            </w:r>
          </w:p>
          <w:p w14:paraId="5A476AA5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 מסמלת הדרגה הצופית ואילו מיומנויות צופיות נדרשות ממני על מנת לקבלה בעת הזו?</w:t>
            </w:r>
          </w:p>
          <w:p w14:paraId="00D319AE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כיצד נשמר את התהליך הצופי גם בשעת לחימה?</w:t>
            </w:r>
          </w:p>
          <w:p w14:paraId="3D8CE49B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ראה/י: </w:t>
            </w:r>
            <w:hyperlink r:id="rId7" w:history="1">
              <w:r w:rsidRPr="00A7389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יום צופה</w:t>
              </w:r>
              <w:r w:rsidRPr="00A7389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-</w:t>
              </w:r>
              <w:r w:rsidRPr="00A73896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דגשים חינוכיים</w:t>
              </w:r>
            </w:hyperlink>
          </w:p>
        </w:tc>
        <w:tc>
          <w:tcPr>
            <w:tcW w:w="5236" w:type="dxa"/>
          </w:tcPr>
          <w:p w14:paraId="612AD138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כתיבה מחודשת של 'מבחני האומץ' בהתאם לתהליך החינוכי שהקבוצה חווה בשעת משבר ולחימה ובהתאם לפלטפורמה ההדרכתית (פעולה ביתית/ פעולה מקוונת).</w:t>
            </w:r>
          </w:p>
        </w:tc>
      </w:tr>
      <w:tr w:rsidR="00FA30FF" w14:paraId="2D9E2AB9" w14:textId="77777777" w:rsidTr="009D108B">
        <w:trPr>
          <w:jc w:val="center"/>
        </w:trPr>
        <w:tc>
          <w:tcPr>
            <w:tcW w:w="1697" w:type="dxa"/>
          </w:tcPr>
          <w:p w14:paraId="71D01A61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פתי"ק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5790DF91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(להנהגות שלא הספיקו)</w:t>
            </w:r>
          </w:p>
        </w:tc>
        <w:tc>
          <w:tcPr>
            <w:tcW w:w="3553" w:type="dxa"/>
          </w:tcPr>
          <w:p w14:paraId="6BDD9FE8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מהי מנהיגות צופית בחברה הישראלית?</w:t>
            </w:r>
          </w:p>
          <w:p w14:paraId="304C6624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hyperlink r:id="rId8" w:history="1">
              <w:r w:rsidRPr="00D43BA9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הרחבה על מפעלי פתיחת שנת קורס תשפ"ד.</w:t>
              </w:r>
            </w:hyperlink>
          </w:p>
        </w:tc>
        <w:tc>
          <w:tcPr>
            <w:tcW w:w="5236" w:type="dxa"/>
          </w:tcPr>
          <w:p w14:paraId="7DF74B6A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סמינר מנהיגות פרונטלי/ מקוון בהתאם להנחיות פיקוד העורף.</w:t>
            </w:r>
          </w:p>
          <w:p w14:paraId="131527A2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מפגש שבועי עם דמות/ נושא מהחברה הישראלית.</w:t>
            </w:r>
          </w:p>
        </w:tc>
      </w:tr>
      <w:tr w:rsidR="00FA30FF" w14:paraId="1112F893" w14:textId="77777777" w:rsidTr="009D108B">
        <w:trPr>
          <w:jc w:val="center"/>
        </w:trPr>
        <w:tc>
          <w:tcPr>
            <w:tcW w:w="1697" w:type="dxa"/>
          </w:tcPr>
          <w:p w14:paraId="27D9CFE1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חנוכה</w:t>
            </w:r>
          </w:p>
        </w:tc>
        <w:tc>
          <w:tcPr>
            <w:tcW w:w="3553" w:type="dxa"/>
          </w:tcPr>
          <w:p w14:paraId="6A08A7F4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 משמעות החג במקורות היהודיים והישראלים?</w:t>
            </w:r>
          </w:p>
          <w:p w14:paraId="692024D6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אילו 'ניסים' דרושים בחברה הישראלית? מה האחריות שלנו בהגשמתם?</w:t>
            </w:r>
          </w:p>
          <w:p w14:paraId="113226D9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אילו תהליכים מואצים חווה שכבת הנעורים במסגרת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חנוכ"ד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? מה מבין תהליכים אלה הוא צורך השעה?</w:t>
            </w:r>
          </w:p>
        </w:tc>
        <w:tc>
          <w:tcPr>
            <w:tcW w:w="5236" w:type="dxa"/>
          </w:tcPr>
          <w:p w14:paraId="4C090509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חוברת הצעות תנועתית תצא בהמשך.</w:t>
            </w:r>
          </w:p>
        </w:tc>
      </w:tr>
      <w:tr w:rsidR="00FA30FF" w14:paraId="32159732" w14:textId="77777777" w:rsidTr="009D108B">
        <w:trPr>
          <w:jc w:val="center"/>
        </w:trPr>
        <w:tc>
          <w:tcPr>
            <w:tcW w:w="1697" w:type="dxa"/>
          </w:tcPr>
          <w:p w14:paraId="1FD6CBC3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פסטיבשט</w:t>
            </w:r>
            <w:proofErr w:type="spellEnd"/>
          </w:p>
        </w:tc>
        <w:tc>
          <w:tcPr>
            <w:tcW w:w="3553" w:type="dxa"/>
          </w:tcPr>
          <w:p w14:paraId="0E53BFB3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כיצד משימה משותפת יכולה להגביר את החוסן הקבוצתי?</w:t>
            </w:r>
          </w:p>
          <w:p w14:paraId="3DEDF0EC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אילו הזדמנויות קיימות בהעברת מסרים באמצעות יצירה אומנותית (במקרה זה בימתית)? </w:t>
            </w:r>
          </w:p>
          <w:p w14:paraId="6C405EBB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מהו חופש הביטוי האומנותי ומה גבולותיו?</w:t>
            </w:r>
          </w:p>
        </w:tc>
        <w:tc>
          <w:tcPr>
            <w:tcW w:w="5236" w:type="dxa"/>
          </w:tcPr>
          <w:p w14:paraId="7C7F1355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בהתאם להנחיות התנועתיות והנחיות פיקוד העורף- קיום חזרות במסגרת פעולה ביתית, צילום קטע השירה והריקוד והפקת מופע מקוון.</w:t>
            </w:r>
          </w:p>
        </w:tc>
      </w:tr>
      <w:tr w:rsidR="00FA30FF" w14:paraId="292BACC9" w14:textId="77777777" w:rsidTr="009D108B">
        <w:trPr>
          <w:jc w:val="center"/>
        </w:trPr>
        <w:tc>
          <w:tcPr>
            <w:tcW w:w="1697" w:type="dxa"/>
          </w:tcPr>
          <w:p w14:paraId="015621A0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אסיפת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שכב"ג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60549D09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9195F07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53" w:type="dxa"/>
          </w:tcPr>
          <w:p w14:paraId="4D5F5F0B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האם תנועת הצופים דמוקרטית? אילו מנגנונים דמוקרטיים קיימים בשבט?</w:t>
            </w:r>
          </w:p>
          <w:p w14:paraId="5ECDF81E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750EF">
              <w:rPr>
                <w:rFonts w:ascii="David" w:hAnsi="David" w:cs="David"/>
                <w:sz w:val="24"/>
                <w:szCs w:val="24"/>
                <w:rtl/>
              </w:rPr>
              <w:t>מה תפקיד של תנועת הנוער הצופים בזמן משבר ולחימה?</w:t>
            </w:r>
          </w:p>
          <w:p w14:paraId="1EB48FE9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236" w:type="dxa"/>
          </w:tcPr>
          <w:p w14:paraId="10019E89" w14:textId="77777777" w:rsidR="00FA30FF" w:rsidRDefault="00FA30FF" w:rsidP="009D108B">
            <w:pPr>
              <w:bidi/>
              <w:spacing w:after="1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קיום מפגש הנהגתי (מקוון/ פרונטלי) על בסיס מתווה תנועתי במסגרתו יעמיקו בני ובנות הנוער אודות משמעות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תפקידם.ן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בזמן משבר ולחימה וידונו ברעיונות חדשים לעשייה. מפגש זה יאפשר את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השתתפותם.ן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האקטיבית של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שכב"ג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תנועת הנוער 'הצופים' בעיצוב דרכי הפעולה התנועתיים אל מול אתגרי השעה. </w:t>
            </w:r>
            <w:r w:rsidRPr="00A73896">
              <w:rPr>
                <w:rFonts w:ascii="David" w:hAnsi="David" w:cs="David" w:hint="cs"/>
                <w:i/>
                <w:iCs/>
                <w:sz w:val="24"/>
                <w:szCs w:val="24"/>
                <w:rtl/>
              </w:rPr>
              <w:t>פרטים נוספים בהמשך.</w:t>
            </w:r>
          </w:p>
        </w:tc>
      </w:tr>
    </w:tbl>
    <w:p w14:paraId="0B906BA5" w14:textId="77777777" w:rsidR="00FA30FF" w:rsidRDefault="00FA30FF" w:rsidP="00FA30FF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sectPr w:rsidR="00FA30FF" w:rsidSect="00E73BD3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A298" w14:textId="77777777" w:rsidR="001A1371" w:rsidRDefault="001A1371" w:rsidP="00FA30FF">
      <w:r>
        <w:separator/>
      </w:r>
    </w:p>
  </w:endnote>
  <w:endnote w:type="continuationSeparator" w:id="0">
    <w:p w14:paraId="2A6F2AFD" w14:textId="77777777" w:rsidR="001A1371" w:rsidRDefault="001A1371" w:rsidP="00F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46AD" w14:textId="77777777" w:rsidR="001A1371" w:rsidRDefault="001A1371" w:rsidP="00FA30FF">
      <w:r>
        <w:separator/>
      </w:r>
    </w:p>
  </w:footnote>
  <w:footnote w:type="continuationSeparator" w:id="0">
    <w:p w14:paraId="29B12A4E" w14:textId="77777777" w:rsidR="001A1371" w:rsidRDefault="001A1371" w:rsidP="00FA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34A6" w14:textId="0086A77F" w:rsidR="00FA30FF" w:rsidRDefault="00FA30FF" w:rsidP="00FA30FF">
    <w:pPr>
      <w:pStyle w:val="a4"/>
      <w:tabs>
        <w:tab w:val="clear" w:pos="4153"/>
        <w:tab w:val="clear" w:pos="8306"/>
        <w:tab w:val="left" w:pos="6880"/>
      </w:tabs>
    </w:pPr>
    <w:r w:rsidRPr="003A1F96">
      <w:rPr>
        <w:rFonts w:ascii="David" w:hAnsi="David" w:cs="David"/>
        <w:noProof/>
      </w:rPr>
      <w:drawing>
        <wp:anchor distT="0" distB="0" distL="114300" distR="114300" simplePos="0" relativeHeight="251659264" behindDoc="1" locked="0" layoutInCell="1" allowOverlap="1" wp14:anchorId="38C4C08D" wp14:editId="262BFC9C">
          <wp:simplePos x="0" y="0"/>
          <wp:positionH relativeFrom="page">
            <wp:posOffset>-177800</wp:posOffset>
          </wp:positionH>
          <wp:positionV relativeFrom="paragraph">
            <wp:posOffset>-451485</wp:posOffset>
          </wp:positionV>
          <wp:extent cx="8032750" cy="1460378"/>
          <wp:effectExtent l="0" t="0" r="6350" b="6985"/>
          <wp:wrapNone/>
          <wp:docPr id="46" name="תמונה 46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תמונה 46" descr="תמונה שמכילה טקסט, צילום מסך, תוכנה, דף אינטרנט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1" b="86355"/>
                  <a:stretch/>
                </pic:blipFill>
                <pic:spPr bwMode="auto">
                  <a:xfrm>
                    <a:off x="0" y="0"/>
                    <a:ext cx="8032750" cy="1460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F"/>
    <w:rsid w:val="001A1371"/>
    <w:rsid w:val="0089136D"/>
    <w:rsid w:val="00CC2DB4"/>
    <w:rsid w:val="00D075AE"/>
    <w:rsid w:val="00E73BD3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70371"/>
  <w15:chartTrackingRefBased/>
  <w15:docId w15:val="{0B08C2A6-47B5-44C0-9AB6-C8AD520E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FF"/>
    <w:pPr>
      <w:widowControl w:val="0"/>
      <w:autoSpaceDE w:val="0"/>
      <w:autoSpaceDN w:val="0"/>
      <w:spacing w:after="0" w:line="240" w:lineRule="auto"/>
    </w:pPr>
    <w:rPr>
      <w:rFonts w:ascii="Alef" w:eastAsia="Alef" w:hAnsi="Alef" w:cs="Ale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A30FF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FA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FA30FF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FA30FF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FA30FF"/>
    <w:rPr>
      <w:rFonts w:ascii="Alef" w:eastAsia="Alef" w:hAnsi="Alef" w:cs="Alef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FA30FF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FA30FF"/>
    <w:rPr>
      <w:rFonts w:ascii="Alef" w:eastAsia="Alef" w:hAnsi="Alef" w:cs="Ale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fimil-my.sharepoint.com/:b:/g/personal/edenn_zofim_org_il/EZOBt2lhaWtAuMl1wKXcCCAB7vSu4Lnl5-EZZJhKAXjv7A?e=Bfe8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fimil.sharepoint.com/sites/ogdan-portal/Shared%20Documents/Forms/AllItems.aspx?id=%2Fsites%2Fogdan%2Dportal%2FShared%20Documents%2F%D7%A2%D7%A7%D7%A8%D7%95%D7%A0%D7%95%D7%AA%20%D7%95%D7%AA%D7%95%D7%9B%D7%9F%20%D7%97%D7%99%D7%A0%D7%95%D7%9B%D7%99%2F%D7%97%D7%95%D7%9E%D7%A8%D7%99%D7%9D%20%D7%9C%D7%99%D7%95%D7%9D%20%D7%A6%D7%95%D7%A4%D7%94%2F%D7%99%D7%95%D7%9D%20%D7%94%D7%A6%D7%95%D7%A4%D7%94%20%D7%93%D7%92%D7%A9%D7%99%D7%9D%20%D7%97%D7%99%D7%A0%D7%95%D7%9B%D7%99%D7%99%D7%9D%2Epdf&amp;parent=%2Fsites%2Fogdan%2Dportal%2FShared%20Documents%2F%D7%A2%D7%A7%D7%A8%D7%95%D7%A0%D7%95%D7%AA%20%D7%95%D7%AA%D7%95%D7%9B%D7%9F%20%D7%97%D7%99%D7%A0%D7%95%D7%9B%D7%99%2F%D7%97%D7%95%D7%9E%D7%A8%D7%99%D7%9D%20%D7%9C%D7%99%D7%95%D7%9D%20%D7%A6%D7%95%D7%A4%D7%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fimil.sharepoint.com/sites/ogdan-portal/Shared%20Documents/Forms/AllItems.aspx?id=%2Fsites%2Fogdan%2Dportal%2FShared%20Documents%2F%D7%A2%D7%A7%D7%A8%D7%95%D7%A0%D7%95%D7%AA%20%D7%95%D7%AA%D7%95%D7%9B%D7%9F%20%D7%97%D7%99%D7%A0%D7%95%D7%9B%D7%99%2F%D7%9E%D7%A8%D7%97%D7%91%20%D7%91%D7%98%D7%95%D7%97%2F%D7%9E%D7%A8%D7%97%D7%91%20%D7%91%D7%98%D7%95%D7%97%20%D7%91%D7%9E%D7%A4%D7%A2%D7%9C%D7%99%D7%9D%20%D7%95%D7%91%D7%A7%D7%99%D7%A5%2F%D7%9E%D7%95%D7%93%D7%9C%20%D7%AA%D7%94%D7%9C%D7%99%D7%9A%20%D7%94%D7%A1%D7%9E%D7%9B%D7%95%D7%AA%20%28%D7%90%D7%9E%D7%A0%D7%94%29%20%D7%A9%D7%91%D7%98%D7%99%20%D7%90%D7%95%20%D7%94%D7%A0%D7%94%D7%92%D7%AA%D7%99%2Epdf&amp;parent=%2Fsites%2Fogdan%2Dportal%2FShared%20Documents%2F%D7%A2%D7%A7%D7%A8%D7%95%D7%A0%D7%95%D7%AA%20%D7%95%D7%AA%D7%95%D7%9B%D7%9F%20%D7%97%D7%99%D7%A0%D7%95%D7%9B%D7%99%2F%D7%9E%D7%A8%D7%97%D7%91%20%D7%91%D7%98%D7%95%D7%97%2F%D7%9E%D7%A8%D7%97%D7%91%20%D7%91%D7%98%D7%95%D7%97%20%D7%91%D7%9E%D7%A4%D7%A2%D7%9C%D7%99%D7%9D%20%D7%95%D7%91%D7%A7%D7%99%D7%A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עדן נאור</dc:creator>
  <cp:keywords/>
  <dc:description/>
  <cp:lastModifiedBy>עדן נאור</cp:lastModifiedBy>
  <cp:revision>1</cp:revision>
  <dcterms:created xsi:type="dcterms:W3CDTF">2023-11-03T07:00:00Z</dcterms:created>
  <dcterms:modified xsi:type="dcterms:W3CDTF">2023-11-03T07:01:00Z</dcterms:modified>
</cp:coreProperties>
</file>