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A78" w:rsidRDefault="00592A78" w:rsidP="00592A78">
      <w:pPr>
        <w:spacing w:line="360" w:lineRule="auto"/>
        <w:jc w:val="both"/>
        <w:rPr>
          <w:b/>
          <w:bCs/>
          <w:rtl/>
        </w:rPr>
      </w:pPr>
      <w:bookmarkStart w:id="0" w:name="_GoBack"/>
      <w:bookmarkEnd w:id="0"/>
      <w:r>
        <w:rPr>
          <w:rFonts w:hint="cs"/>
          <w:b/>
          <w:bCs/>
          <w:rtl/>
        </w:rPr>
        <w:t xml:space="preserve">תלת 3 </w:t>
      </w:r>
      <w:r>
        <w:rPr>
          <w:b/>
          <w:bCs/>
          <w:rtl/>
        </w:rPr>
        <w:t>–</w:t>
      </w:r>
      <w:r>
        <w:rPr>
          <w:rFonts w:hint="cs"/>
          <w:b/>
          <w:bCs/>
          <w:rtl/>
        </w:rPr>
        <w:t xml:space="preserve"> תהליכי פרידה</w:t>
      </w:r>
    </w:p>
    <w:p w:rsidR="00592A78" w:rsidRDefault="00592A78" w:rsidP="00592A78">
      <w:pPr>
        <w:spacing w:line="360" w:lineRule="auto"/>
        <w:jc w:val="both"/>
        <w:rPr>
          <w:b/>
          <w:bCs/>
          <w:rtl/>
        </w:rPr>
      </w:pPr>
    </w:p>
    <w:p w:rsidR="00592A78" w:rsidRDefault="00592A78" w:rsidP="00592A78">
      <w:pPr>
        <w:spacing w:line="360" w:lineRule="auto"/>
        <w:jc w:val="both"/>
        <w:rPr>
          <w:b/>
          <w:bCs/>
          <w:rtl/>
        </w:rPr>
      </w:pPr>
      <w:r>
        <w:rPr>
          <w:rFonts w:hint="cs"/>
          <w:b/>
          <w:bCs/>
          <w:rtl/>
        </w:rPr>
        <w:t>נספח</w:t>
      </w:r>
    </w:p>
    <w:p w:rsidR="00592A78" w:rsidRDefault="00592A78" w:rsidP="00592A78">
      <w:pPr>
        <w:spacing w:line="360" w:lineRule="auto"/>
        <w:jc w:val="both"/>
        <w:rPr>
          <w:b/>
          <w:bCs/>
          <w:rtl/>
        </w:rPr>
      </w:pPr>
    </w:p>
    <w:p w:rsidR="00592A78" w:rsidRPr="008318CF" w:rsidRDefault="00592A78" w:rsidP="00592A78">
      <w:pPr>
        <w:spacing w:line="360" w:lineRule="auto"/>
        <w:jc w:val="both"/>
        <w:rPr>
          <w:b/>
          <w:bCs/>
          <w:rtl/>
        </w:rPr>
      </w:pPr>
      <w:r w:rsidRPr="008318CF">
        <w:rPr>
          <w:rFonts w:hint="cs"/>
          <w:b/>
          <w:bCs/>
          <w:rtl/>
        </w:rPr>
        <w:t xml:space="preserve">עיבוד המאמר  "סיום ופרידה במסגרת חונכות"- ג'קי </w:t>
      </w:r>
      <w:proofErr w:type="spellStart"/>
      <w:r w:rsidRPr="008318CF">
        <w:rPr>
          <w:rFonts w:hint="cs"/>
          <w:b/>
          <w:bCs/>
          <w:rtl/>
        </w:rPr>
        <w:t>בירנפלד</w:t>
      </w:r>
      <w:proofErr w:type="spellEnd"/>
    </w:p>
    <w:p w:rsidR="00592A78" w:rsidRPr="008318CF" w:rsidRDefault="00592A78" w:rsidP="00592A78">
      <w:pPr>
        <w:spacing w:line="360" w:lineRule="auto"/>
        <w:jc w:val="both"/>
        <w:rPr>
          <w:sz w:val="26"/>
          <w:szCs w:val="26"/>
          <w:rtl/>
        </w:rPr>
      </w:pPr>
      <w:r w:rsidRPr="008318CF">
        <w:rPr>
          <w:rFonts w:hint="cs"/>
          <w:sz w:val="26"/>
          <w:szCs w:val="26"/>
          <w:rtl/>
        </w:rPr>
        <w:t>סיום ופרידה הם מושגים מרכזיים בכל מערכת יחסים בין אי</w:t>
      </w:r>
      <w:r w:rsidR="00840D2C">
        <w:rPr>
          <w:rFonts w:hint="cs"/>
          <w:sz w:val="26"/>
          <w:szCs w:val="26"/>
          <w:rtl/>
        </w:rPr>
        <w:t xml:space="preserve">שית. מאחר שמדובר על פרידה בקשר </w:t>
      </w:r>
      <w:r w:rsidRPr="008318CF">
        <w:rPr>
          <w:rFonts w:hint="cs"/>
          <w:sz w:val="26"/>
          <w:szCs w:val="26"/>
          <w:rtl/>
        </w:rPr>
        <w:t>שתקופת התחלתו וסיומו מוגדרים מראש (שנת פעילות צופית), יש להתייחס לנושא ולהכין את המעורבים בו לקראת סיומו.</w:t>
      </w:r>
    </w:p>
    <w:p w:rsidR="00592A78" w:rsidRPr="008318CF" w:rsidRDefault="00592A78" w:rsidP="00683149">
      <w:pPr>
        <w:spacing w:line="360" w:lineRule="auto"/>
        <w:jc w:val="both"/>
        <w:rPr>
          <w:sz w:val="26"/>
          <w:szCs w:val="26"/>
          <w:rtl/>
        </w:rPr>
      </w:pPr>
      <w:r w:rsidRPr="008318CF">
        <w:rPr>
          <w:rFonts w:hint="cs"/>
          <w:sz w:val="26"/>
          <w:szCs w:val="26"/>
          <w:rtl/>
        </w:rPr>
        <w:t xml:space="preserve">שלב הסיום יכול להיות מרכזי ביותר בכל תהליך הקשר. הסיום עלול להיות קשה, בעייתי, טראומטי ועוד. הזמן </w:t>
      </w:r>
      <w:r w:rsidR="00683149">
        <w:rPr>
          <w:rFonts w:hint="cs"/>
          <w:sz w:val="26"/>
          <w:szCs w:val="26"/>
          <w:rtl/>
        </w:rPr>
        <w:t xml:space="preserve">עובר </w:t>
      </w:r>
      <w:r w:rsidRPr="008318CF">
        <w:rPr>
          <w:rFonts w:hint="cs"/>
          <w:sz w:val="26"/>
          <w:szCs w:val="26"/>
          <w:rtl/>
        </w:rPr>
        <w:t>- שעון החול הולך ואוזל וכדאי להכיר במשאב הזמן המתכלה כדי לנצל אותו ביעילות. לחוויה זו יש נטייה ליצור אצל האנשים את "האומץ", להגיד, לשתף או לעשות מעשים שעד כה לא העזו להגיד או לעשות. או מצד שני, לנצל את הידיעה שזהו הסיום כדי "לסגור עניינים לא גמורים". לעיתים זו הזדמנות בונה ולעיתים מחבלת.</w:t>
      </w:r>
    </w:p>
    <w:p w:rsidR="00592A78" w:rsidRPr="008318CF" w:rsidRDefault="00592A78" w:rsidP="00592A78">
      <w:pPr>
        <w:spacing w:line="360" w:lineRule="auto"/>
        <w:jc w:val="both"/>
        <w:rPr>
          <w:sz w:val="26"/>
          <w:szCs w:val="26"/>
          <w:rtl/>
        </w:rPr>
      </w:pPr>
      <w:r w:rsidRPr="008318CF">
        <w:rPr>
          <w:rFonts w:hint="cs"/>
          <w:sz w:val="26"/>
          <w:szCs w:val="26"/>
          <w:rtl/>
        </w:rPr>
        <w:t xml:space="preserve">בשל הרגישות של חוויית הפרידה, קיימת נטייה להתרופפות המבנה, הנורמות וכללי ההתנהגות והפיתוי להרפות ולהניח גדול וקורץ. מסיבה זו, חשובה ההקפדה על המבנה והמסגרת כדי להמשיך להקנות תחושה של בטחון, יציבות, שייכות. יש לשמור על נורמות של זמן, נוכחות ופעילות איכותית. </w:t>
      </w:r>
    </w:p>
    <w:p w:rsidR="00592A78" w:rsidRDefault="00592A78" w:rsidP="00592A78">
      <w:pPr>
        <w:spacing w:line="360" w:lineRule="auto"/>
        <w:jc w:val="both"/>
        <w:rPr>
          <w:sz w:val="26"/>
          <w:szCs w:val="26"/>
          <w:rtl/>
        </w:rPr>
      </w:pPr>
    </w:p>
    <w:p w:rsidR="00592A78" w:rsidRPr="00125777" w:rsidRDefault="00592A78" w:rsidP="00592A78">
      <w:pPr>
        <w:spacing w:line="360" w:lineRule="auto"/>
        <w:rPr>
          <w:b/>
          <w:bCs/>
          <w:sz w:val="26"/>
          <w:szCs w:val="26"/>
          <w:rtl/>
        </w:rPr>
      </w:pPr>
      <w:r w:rsidRPr="00125777">
        <w:rPr>
          <w:rFonts w:hint="cs"/>
          <w:b/>
          <w:bCs/>
          <w:sz w:val="26"/>
          <w:szCs w:val="26"/>
          <w:rtl/>
        </w:rPr>
        <w:t>תגובות אפשריות של החניכים</w:t>
      </w:r>
    </w:p>
    <w:p w:rsidR="00592A78" w:rsidRPr="00CD3A2A" w:rsidRDefault="00592A78" w:rsidP="00592A78">
      <w:pPr>
        <w:numPr>
          <w:ilvl w:val="1"/>
          <w:numId w:val="1"/>
        </w:numPr>
        <w:spacing w:line="360" w:lineRule="auto"/>
        <w:jc w:val="both"/>
        <w:rPr>
          <w:sz w:val="26"/>
          <w:szCs w:val="26"/>
          <w:u w:val="single"/>
        </w:rPr>
      </w:pPr>
      <w:r w:rsidRPr="00CD3A2A">
        <w:rPr>
          <w:rFonts w:hint="cs"/>
          <w:sz w:val="26"/>
          <w:szCs w:val="26"/>
          <w:u w:val="single"/>
          <w:rtl/>
        </w:rPr>
        <w:t>הפרידה כסיום טבעי לפעילות</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חוסר תגובה</w:t>
      </w:r>
      <w:r w:rsidRPr="00CD3A2A">
        <w:rPr>
          <w:rFonts w:hint="cs"/>
          <w:sz w:val="26"/>
          <w:szCs w:val="26"/>
          <w:rtl/>
        </w:rPr>
        <w:t>, ייתכן בשל קושי להביע רגשות/ הדחקה</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צער</w:t>
      </w:r>
      <w:r w:rsidRPr="00CD3A2A">
        <w:rPr>
          <w:rFonts w:hint="cs"/>
          <w:sz w:val="26"/>
          <w:szCs w:val="26"/>
          <w:rtl/>
        </w:rPr>
        <w:t>- "אני עצוב שלא תדריך אותי יותר", בכי</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כעס-</w:t>
      </w:r>
      <w:r w:rsidRPr="00CD3A2A">
        <w:rPr>
          <w:rFonts w:hint="cs"/>
          <w:sz w:val="26"/>
          <w:szCs w:val="26"/>
          <w:rtl/>
        </w:rPr>
        <w:t xml:space="preserve"> החניך כועס, תגובות תוקפניות לא ישירות, אלימות וכדומה.</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בריחה</w:t>
      </w:r>
      <w:r w:rsidRPr="00CD3A2A">
        <w:rPr>
          <w:rFonts w:hint="cs"/>
          <w:sz w:val="26"/>
          <w:szCs w:val="26"/>
          <w:rtl/>
        </w:rPr>
        <w:t>- הפסקת ההגעה לפעולות אחרונות כדי לא להיפגע מהפרידה הסופית. הדבר נותן לחניך מקום של כוח ושליטה על תהליך שהוא חסר שליטה מבחינתו.</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הכחשה</w:t>
      </w:r>
      <w:r w:rsidRPr="00CD3A2A">
        <w:rPr>
          <w:rFonts w:hint="cs"/>
          <w:sz w:val="26"/>
          <w:szCs w:val="26"/>
          <w:rtl/>
        </w:rPr>
        <w:t>- התעלמות מהפרידה- "טוב , אז שנה הבאה כשתדריך אותי..."</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יצירת תלות</w:t>
      </w:r>
      <w:r w:rsidRPr="00CD3A2A">
        <w:rPr>
          <w:rFonts w:hint="cs"/>
          <w:sz w:val="26"/>
          <w:szCs w:val="26"/>
          <w:rtl/>
        </w:rPr>
        <w:t>- מתקשרים למדריך, סיבות לקשר, כאילו דרישות מוגזמות בהווה יכפרו על חוסר קשר העתיד.</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הפחתת ערך</w:t>
      </w:r>
      <w:r w:rsidRPr="00CD3A2A">
        <w:rPr>
          <w:rFonts w:hint="cs"/>
          <w:sz w:val="26"/>
          <w:szCs w:val="26"/>
          <w:rtl/>
        </w:rPr>
        <w:t>- "גם ככה לא עשינו כלום השנה".</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נסיגה</w:t>
      </w:r>
      <w:r w:rsidRPr="00CD3A2A">
        <w:rPr>
          <w:rFonts w:hint="cs"/>
          <w:sz w:val="26"/>
          <w:szCs w:val="26"/>
          <w:rtl/>
        </w:rPr>
        <w:t xml:space="preserve">- כל ההתקדמות שחלה עם החניך במהלך השנה כאילו לא </w:t>
      </w:r>
      <w:proofErr w:type="spellStart"/>
      <w:r w:rsidRPr="00CD3A2A">
        <w:rPr>
          <w:rFonts w:hint="cs"/>
          <w:sz w:val="26"/>
          <w:szCs w:val="26"/>
          <w:rtl/>
        </w:rPr>
        <w:t>היתה</w:t>
      </w:r>
      <w:proofErr w:type="spellEnd"/>
      <w:r w:rsidRPr="00CD3A2A">
        <w:rPr>
          <w:rFonts w:hint="cs"/>
          <w:sz w:val="26"/>
          <w:szCs w:val="26"/>
          <w:rtl/>
        </w:rPr>
        <w:t xml:space="preserve">, החניך מנסה בכך לאותת למדריך שהוא עדיין צריך אותו. </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הלקאה עצמית</w:t>
      </w:r>
      <w:r w:rsidRPr="00CD3A2A">
        <w:rPr>
          <w:rFonts w:hint="cs"/>
          <w:sz w:val="26"/>
          <w:szCs w:val="26"/>
          <w:rtl/>
        </w:rPr>
        <w:t xml:space="preserve">- נטייה לפרש את הפרידה כעונש על התנהגות לא טובה שלו. </w:t>
      </w:r>
    </w:p>
    <w:p w:rsidR="00592A78" w:rsidRDefault="00592A78" w:rsidP="00592A78">
      <w:pPr>
        <w:spacing w:line="360" w:lineRule="auto"/>
        <w:jc w:val="both"/>
        <w:rPr>
          <w:sz w:val="26"/>
          <w:szCs w:val="26"/>
          <w:rtl/>
        </w:rPr>
      </w:pPr>
      <w:r w:rsidRPr="00CD3A2A">
        <w:rPr>
          <w:rFonts w:hint="cs"/>
          <w:sz w:val="26"/>
          <w:szCs w:val="26"/>
          <w:rtl/>
        </w:rPr>
        <w:t xml:space="preserve"> </w:t>
      </w:r>
    </w:p>
    <w:p w:rsidR="00683149" w:rsidRPr="00CD3A2A" w:rsidRDefault="00683149" w:rsidP="00592A78">
      <w:pPr>
        <w:spacing w:line="360" w:lineRule="auto"/>
        <w:jc w:val="both"/>
        <w:rPr>
          <w:sz w:val="26"/>
          <w:szCs w:val="26"/>
          <w:rtl/>
        </w:rPr>
      </w:pPr>
    </w:p>
    <w:p w:rsidR="00592A78" w:rsidRPr="00CD3A2A" w:rsidRDefault="00592A78" w:rsidP="00592A78">
      <w:pPr>
        <w:spacing w:line="360" w:lineRule="auto"/>
        <w:rPr>
          <w:u w:val="single"/>
          <w:rtl/>
          <w:lang w:val="x-none"/>
        </w:rPr>
      </w:pPr>
    </w:p>
    <w:p w:rsidR="00592A78" w:rsidRPr="00125777" w:rsidRDefault="00592A78" w:rsidP="00592A78">
      <w:pPr>
        <w:spacing w:line="360" w:lineRule="auto"/>
        <w:rPr>
          <w:b/>
          <w:bCs/>
          <w:sz w:val="26"/>
          <w:szCs w:val="26"/>
          <w:rtl/>
        </w:rPr>
      </w:pPr>
      <w:r w:rsidRPr="00125777">
        <w:rPr>
          <w:rFonts w:hint="cs"/>
          <w:b/>
          <w:bCs/>
          <w:sz w:val="26"/>
          <w:szCs w:val="26"/>
          <w:rtl/>
        </w:rPr>
        <w:t xml:space="preserve">תגובות אופייניות למדריכים </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lastRenderedPageBreak/>
        <w:t xml:space="preserve">עזיבה חדה </w:t>
      </w:r>
      <w:proofErr w:type="spellStart"/>
      <w:r w:rsidRPr="00CD3A2A">
        <w:rPr>
          <w:rFonts w:hint="cs"/>
          <w:sz w:val="26"/>
          <w:szCs w:val="26"/>
          <w:u w:val="single"/>
          <w:rtl/>
        </w:rPr>
        <w:t>ומיידית</w:t>
      </w:r>
      <w:proofErr w:type="spellEnd"/>
      <w:r w:rsidRPr="00CD3A2A">
        <w:rPr>
          <w:rFonts w:hint="cs"/>
          <w:sz w:val="26"/>
          <w:szCs w:val="26"/>
          <w:rtl/>
        </w:rPr>
        <w:t xml:space="preserve">- לאו דווקא פיזית אלא תפישתית. "לא משקיע יותר, גם ככה זה הסוף". </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פגיעה בנורמת הקשר</w:t>
      </w:r>
      <w:r w:rsidRPr="00CD3A2A">
        <w:rPr>
          <w:rFonts w:hint="cs"/>
          <w:sz w:val="26"/>
          <w:szCs w:val="26"/>
          <w:rtl/>
        </w:rPr>
        <w:t>- היעדרות מפעולות או ביטול שלהן מנסות לסיים בהדרגה את  נורמת הקשר שנבנתה במהלך השנה.</w:t>
      </w:r>
    </w:p>
    <w:p w:rsidR="00592A78" w:rsidRPr="00CD3A2A" w:rsidRDefault="00592A78" w:rsidP="00592A78">
      <w:pPr>
        <w:numPr>
          <w:ilvl w:val="1"/>
          <w:numId w:val="1"/>
        </w:numPr>
        <w:spacing w:line="360" w:lineRule="auto"/>
        <w:jc w:val="both"/>
        <w:rPr>
          <w:sz w:val="26"/>
          <w:szCs w:val="26"/>
        </w:rPr>
      </w:pPr>
      <w:r w:rsidRPr="00CD3A2A">
        <w:rPr>
          <w:rFonts w:hint="cs"/>
          <w:sz w:val="26"/>
          <w:szCs w:val="26"/>
          <w:u w:val="single"/>
          <w:rtl/>
        </w:rPr>
        <w:t>"התעלמות קסומה"</w:t>
      </w:r>
      <w:r w:rsidRPr="00CD3A2A">
        <w:rPr>
          <w:rFonts w:hint="cs"/>
          <w:sz w:val="26"/>
          <w:szCs w:val="26"/>
          <w:rtl/>
        </w:rPr>
        <w:t xml:space="preserve">- קושי הפרידה גורם לחונך להבטיח לחניך קשר חלופי שלא ממש אפשרי. </w:t>
      </w:r>
    </w:p>
    <w:p w:rsidR="00592A78" w:rsidRPr="00CD3A2A" w:rsidRDefault="00592A78" w:rsidP="00592A78">
      <w:pPr>
        <w:numPr>
          <w:ilvl w:val="1"/>
          <w:numId w:val="1"/>
        </w:numPr>
        <w:spacing w:line="360" w:lineRule="auto"/>
        <w:jc w:val="both"/>
        <w:rPr>
          <w:sz w:val="26"/>
          <w:szCs w:val="26"/>
          <w:rtl/>
        </w:rPr>
      </w:pPr>
      <w:r w:rsidRPr="00CD3A2A">
        <w:rPr>
          <w:rFonts w:hint="cs"/>
          <w:sz w:val="26"/>
          <w:szCs w:val="26"/>
          <w:u w:val="single"/>
          <w:rtl/>
        </w:rPr>
        <w:t>עשיית יתר</w:t>
      </w:r>
      <w:r w:rsidRPr="00CD3A2A">
        <w:rPr>
          <w:rFonts w:hint="cs"/>
          <w:sz w:val="26"/>
          <w:szCs w:val="26"/>
          <w:rtl/>
        </w:rPr>
        <w:t xml:space="preserve">- כפיצוי על דברים שלא התרחשו במשך השנה וכהסוואת הפרידה. </w:t>
      </w:r>
    </w:p>
    <w:p w:rsidR="00592A78" w:rsidRPr="00CD3A2A" w:rsidRDefault="00592A78" w:rsidP="00592A78">
      <w:pPr>
        <w:spacing w:line="360" w:lineRule="auto"/>
        <w:rPr>
          <w:sz w:val="26"/>
          <w:szCs w:val="26"/>
          <w:rtl/>
        </w:rPr>
      </w:pPr>
    </w:p>
    <w:p w:rsidR="00125777" w:rsidRDefault="00125777" w:rsidP="00125777">
      <w:pPr>
        <w:spacing w:line="360" w:lineRule="auto"/>
        <w:jc w:val="both"/>
        <w:rPr>
          <w:b/>
          <w:bCs/>
          <w:sz w:val="26"/>
          <w:szCs w:val="26"/>
          <w:rtl/>
        </w:rPr>
      </w:pPr>
      <w:r>
        <w:rPr>
          <w:rFonts w:hint="cs"/>
          <w:b/>
          <w:bCs/>
          <w:sz w:val="26"/>
          <w:szCs w:val="26"/>
          <w:rtl/>
        </w:rPr>
        <w:t>עקרונות לפרידה מיטבית</w:t>
      </w:r>
    </w:p>
    <w:p w:rsidR="00125777" w:rsidRPr="0063367D" w:rsidRDefault="00125777" w:rsidP="0063367D">
      <w:pPr>
        <w:pStyle w:val="a3"/>
        <w:numPr>
          <w:ilvl w:val="0"/>
          <w:numId w:val="3"/>
        </w:numPr>
        <w:spacing w:line="360" w:lineRule="auto"/>
        <w:jc w:val="both"/>
        <w:rPr>
          <w:sz w:val="26"/>
          <w:szCs w:val="26"/>
          <w:rtl/>
        </w:rPr>
      </w:pPr>
      <w:r w:rsidRPr="00125777">
        <w:rPr>
          <w:sz w:val="26"/>
          <w:szCs w:val="26"/>
          <w:rtl/>
        </w:rPr>
        <w:t>לגיטימציה לרגשות החניך ולרגשות שלי</w:t>
      </w:r>
      <w:r w:rsidR="0063367D">
        <w:rPr>
          <w:rFonts w:hint="cs"/>
          <w:sz w:val="26"/>
          <w:szCs w:val="26"/>
          <w:rtl/>
        </w:rPr>
        <w:t xml:space="preserve"> - </w:t>
      </w:r>
      <w:r w:rsidRPr="0063367D">
        <w:rPr>
          <w:sz w:val="26"/>
          <w:szCs w:val="26"/>
          <w:rtl/>
        </w:rPr>
        <w:t xml:space="preserve">בעת שנותנים לגיטימציה לרגשות החניך, זה נותן לו פניות לבנות קשרים חדשים. </w:t>
      </w:r>
    </w:p>
    <w:p w:rsidR="00125777" w:rsidRPr="00125777" w:rsidRDefault="00125777" w:rsidP="00125777">
      <w:pPr>
        <w:pStyle w:val="a3"/>
        <w:numPr>
          <w:ilvl w:val="0"/>
          <w:numId w:val="3"/>
        </w:numPr>
        <w:spacing w:line="360" w:lineRule="auto"/>
        <w:jc w:val="both"/>
        <w:rPr>
          <w:sz w:val="26"/>
          <w:szCs w:val="26"/>
          <w:rtl/>
        </w:rPr>
      </w:pPr>
      <w:r w:rsidRPr="00125777">
        <w:rPr>
          <w:sz w:val="26"/>
          <w:szCs w:val="26"/>
          <w:rtl/>
        </w:rPr>
        <w:t>שיתוף ברגשות</w:t>
      </w:r>
    </w:p>
    <w:p w:rsidR="00125777" w:rsidRPr="00125777" w:rsidRDefault="00125777" w:rsidP="0063367D">
      <w:pPr>
        <w:pStyle w:val="a3"/>
        <w:numPr>
          <w:ilvl w:val="0"/>
          <w:numId w:val="3"/>
        </w:numPr>
        <w:spacing w:line="360" w:lineRule="auto"/>
        <w:jc w:val="both"/>
        <w:rPr>
          <w:sz w:val="26"/>
          <w:szCs w:val="26"/>
          <w:rtl/>
        </w:rPr>
      </w:pPr>
      <w:r w:rsidRPr="00125777">
        <w:rPr>
          <w:sz w:val="26"/>
          <w:szCs w:val="26"/>
          <w:rtl/>
        </w:rPr>
        <w:t xml:space="preserve">טקסי סיום </w:t>
      </w:r>
    </w:p>
    <w:p w:rsidR="00125777" w:rsidRPr="00125777" w:rsidRDefault="0063367D" w:rsidP="0063367D">
      <w:pPr>
        <w:pStyle w:val="a3"/>
        <w:numPr>
          <w:ilvl w:val="0"/>
          <w:numId w:val="3"/>
        </w:numPr>
        <w:spacing w:line="360" w:lineRule="auto"/>
        <w:jc w:val="both"/>
        <w:rPr>
          <w:sz w:val="26"/>
          <w:szCs w:val="26"/>
          <w:rtl/>
        </w:rPr>
      </w:pPr>
      <w:r>
        <w:rPr>
          <w:rFonts w:hint="cs"/>
          <w:sz w:val="26"/>
          <w:szCs w:val="26"/>
          <w:rtl/>
        </w:rPr>
        <w:t xml:space="preserve">הצעה לחניכים - </w:t>
      </w:r>
      <w:r w:rsidR="00125777" w:rsidRPr="00125777">
        <w:rPr>
          <w:sz w:val="26"/>
          <w:szCs w:val="26"/>
          <w:rtl/>
        </w:rPr>
        <w:t xml:space="preserve">איך </w:t>
      </w:r>
      <w:proofErr w:type="spellStart"/>
      <w:r>
        <w:rPr>
          <w:rFonts w:hint="cs"/>
          <w:sz w:val="26"/>
          <w:szCs w:val="26"/>
          <w:rtl/>
        </w:rPr>
        <w:t>היתם</w:t>
      </w:r>
      <w:proofErr w:type="spellEnd"/>
      <w:r>
        <w:rPr>
          <w:rFonts w:hint="cs"/>
          <w:sz w:val="26"/>
          <w:szCs w:val="26"/>
          <w:rtl/>
        </w:rPr>
        <w:t xml:space="preserve"> רוצים להיפרד?</w:t>
      </w:r>
    </w:p>
    <w:p w:rsidR="00125777" w:rsidRPr="00125777" w:rsidRDefault="00125777" w:rsidP="00125777">
      <w:pPr>
        <w:pStyle w:val="a3"/>
        <w:numPr>
          <w:ilvl w:val="0"/>
          <w:numId w:val="3"/>
        </w:numPr>
        <w:spacing w:line="360" w:lineRule="auto"/>
        <w:jc w:val="both"/>
        <w:rPr>
          <w:sz w:val="26"/>
          <w:szCs w:val="26"/>
          <w:rtl/>
        </w:rPr>
      </w:pPr>
      <w:r w:rsidRPr="00125777">
        <w:rPr>
          <w:sz w:val="26"/>
          <w:szCs w:val="26"/>
          <w:rtl/>
        </w:rPr>
        <w:t>הכנה הדרגתית</w:t>
      </w:r>
    </w:p>
    <w:p w:rsidR="00125777" w:rsidRPr="002B619C" w:rsidRDefault="00125777" w:rsidP="002B619C">
      <w:pPr>
        <w:pStyle w:val="a3"/>
        <w:numPr>
          <w:ilvl w:val="0"/>
          <w:numId w:val="3"/>
        </w:numPr>
        <w:spacing w:line="360" w:lineRule="auto"/>
        <w:jc w:val="both"/>
        <w:rPr>
          <w:sz w:val="26"/>
          <w:szCs w:val="26"/>
          <w:rtl/>
        </w:rPr>
      </w:pPr>
      <w:r w:rsidRPr="00125777">
        <w:rPr>
          <w:sz w:val="26"/>
          <w:szCs w:val="26"/>
          <w:rtl/>
        </w:rPr>
        <w:t xml:space="preserve">הגדרה של סיום התהליך </w:t>
      </w:r>
      <w:r w:rsidR="002B619C">
        <w:rPr>
          <w:rFonts w:hint="cs"/>
          <w:sz w:val="26"/>
          <w:szCs w:val="26"/>
          <w:rtl/>
        </w:rPr>
        <w:t>ו</w:t>
      </w:r>
      <w:r w:rsidRPr="00125777">
        <w:rPr>
          <w:sz w:val="26"/>
          <w:szCs w:val="26"/>
          <w:rtl/>
        </w:rPr>
        <w:t>ראייה לעתיד</w:t>
      </w:r>
      <w:r w:rsidR="002B619C">
        <w:rPr>
          <w:rFonts w:hint="cs"/>
          <w:sz w:val="26"/>
          <w:szCs w:val="26"/>
          <w:rtl/>
        </w:rPr>
        <w:t xml:space="preserve"> - </w:t>
      </w:r>
      <w:r w:rsidRPr="002B619C">
        <w:rPr>
          <w:sz w:val="26"/>
          <w:szCs w:val="26"/>
          <w:rtl/>
        </w:rPr>
        <w:t>תכנון לגבי שימור המטרות שהושגו והמשך צמיחה</w:t>
      </w:r>
    </w:p>
    <w:p w:rsidR="00125777" w:rsidRPr="00125777" w:rsidRDefault="002B619C" w:rsidP="00125777">
      <w:pPr>
        <w:pStyle w:val="a3"/>
        <w:numPr>
          <w:ilvl w:val="0"/>
          <w:numId w:val="3"/>
        </w:numPr>
        <w:spacing w:line="360" w:lineRule="auto"/>
        <w:jc w:val="both"/>
        <w:rPr>
          <w:sz w:val="26"/>
          <w:szCs w:val="26"/>
          <w:rtl/>
        </w:rPr>
      </w:pPr>
      <w:r>
        <w:rPr>
          <w:rFonts w:hint="cs"/>
          <w:sz w:val="26"/>
          <w:szCs w:val="26"/>
          <w:rtl/>
        </w:rPr>
        <w:t>התייחסות לכוחות שיש בחניכים (שיסייעו להם להתמודד עם השינוי הצפוי)</w:t>
      </w:r>
    </w:p>
    <w:p w:rsidR="00125777" w:rsidRPr="00125777" w:rsidRDefault="00125777" w:rsidP="00125777">
      <w:pPr>
        <w:pStyle w:val="a3"/>
        <w:numPr>
          <w:ilvl w:val="0"/>
          <w:numId w:val="3"/>
        </w:numPr>
        <w:spacing w:line="360" w:lineRule="auto"/>
        <w:jc w:val="both"/>
        <w:rPr>
          <w:sz w:val="26"/>
          <w:szCs w:val="26"/>
          <w:rtl/>
        </w:rPr>
      </w:pPr>
      <w:r w:rsidRPr="00125777">
        <w:rPr>
          <w:sz w:val="26"/>
          <w:szCs w:val="26"/>
          <w:rtl/>
        </w:rPr>
        <w:t>הכרה בגורמי תמיכה נוספים</w:t>
      </w:r>
    </w:p>
    <w:p w:rsidR="00125777" w:rsidRDefault="00125777" w:rsidP="00125777">
      <w:pPr>
        <w:spacing w:line="360" w:lineRule="auto"/>
        <w:jc w:val="both"/>
        <w:rPr>
          <w:b/>
          <w:bCs/>
          <w:sz w:val="26"/>
          <w:szCs w:val="26"/>
          <w:rtl/>
        </w:rPr>
      </w:pPr>
    </w:p>
    <w:p w:rsidR="00592A78" w:rsidRPr="008318CF" w:rsidRDefault="00592A78" w:rsidP="00125777">
      <w:pPr>
        <w:spacing w:line="360" w:lineRule="auto"/>
        <w:jc w:val="both"/>
        <w:rPr>
          <w:b/>
          <w:bCs/>
          <w:sz w:val="26"/>
          <w:szCs w:val="26"/>
          <w:rtl/>
        </w:rPr>
      </w:pPr>
      <w:r w:rsidRPr="008318CF">
        <w:rPr>
          <w:rFonts w:hint="cs"/>
          <w:b/>
          <w:bCs/>
          <w:sz w:val="26"/>
          <w:szCs w:val="26"/>
          <w:rtl/>
        </w:rPr>
        <w:t>עשה ואל תעשה בפרידה:</w:t>
      </w:r>
    </w:p>
    <w:p w:rsidR="00592A78" w:rsidRPr="008318CF" w:rsidRDefault="00592A78" w:rsidP="00592A78">
      <w:pPr>
        <w:numPr>
          <w:ilvl w:val="0"/>
          <w:numId w:val="2"/>
        </w:numPr>
        <w:spacing w:line="360" w:lineRule="auto"/>
        <w:jc w:val="both"/>
        <w:rPr>
          <w:sz w:val="26"/>
          <w:szCs w:val="26"/>
          <w:rtl/>
        </w:rPr>
      </w:pPr>
      <w:r w:rsidRPr="008318CF">
        <w:rPr>
          <w:rFonts w:hint="cs"/>
          <w:sz w:val="26"/>
          <w:szCs w:val="26"/>
          <w:rtl/>
        </w:rPr>
        <w:t>לא להבטיח שנה נוספת</w:t>
      </w:r>
    </w:p>
    <w:p w:rsidR="00592A78" w:rsidRPr="008318CF" w:rsidRDefault="00592A78" w:rsidP="00592A78">
      <w:pPr>
        <w:numPr>
          <w:ilvl w:val="0"/>
          <w:numId w:val="2"/>
        </w:numPr>
        <w:spacing w:line="360" w:lineRule="auto"/>
        <w:jc w:val="both"/>
        <w:rPr>
          <w:sz w:val="26"/>
          <w:szCs w:val="26"/>
        </w:rPr>
      </w:pPr>
      <w:r w:rsidRPr="008318CF">
        <w:rPr>
          <w:rFonts w:hint="cs"/>
          <w:sz w:val="26"/>
          <w:szCs w:val="26"/>
          <w:rtl/>
        </w:rPr>
        <w:t>לא להבטיח המשך קשר לא פורמלי</w:t>
      </w:r>
    </w:p>
    <w:p w:rsidR="00592A78" w:rsidRPr="008318CF" w:rsidRDefault="00592A78" w:rsidP="00592A78">
      <w:pPr>
        <w:numPr>
          <w:ilvl w:val="0"/>
          <w:numId w:val="2"/>
        </w:numPr>
        <w:spacing w:line="360" w:lineRule="auto"/>
        <w:jc w:val="both"/>
        <w:rPr>
          <w:sz w:val="26"/>
          <w:szCs w:val="26"/>
        </w:rPr>
      </w:pPr>
      <w:r w:rsidRPr="008318CF">
        <w:rPr>
          <w:rFonts w:hint="cs"/>
          <w:sz w:val="26"/>
          <w:szCs w:val="26"/>
          <w:rtl/>
        </w:rPr>
        <w:t>לא לקנות מתנות גדולות ערך או לקבל כאלה</w:t>
      </w:r>
    </w:p>
    <w:p w:rsidR="00592A78" w:rsidRPr="008318CF" w:rsidRDefault="00592A78" w:rsidP="00592A78">
      <w:pPr>
        <w:numPr>
          <w:ilvl w:val="0"/>
          <w:numId w:val="2"/>
        </w:numPr>
        <w:spacing w:line="360" w:lineRule="auto"/>
        <w:jc w:val="both"/>
        <w:rPr>
          <w:sz w:val="26"/>
          <w:szCs w:val="26"/>
          <w:rtl/>
        </w:rPr>
      </w:pPr>
      <w:r w:rsidRPr="008318CF">
        <w:rPr>
          <w:rFonts w:hint="cs"/>
          <w:sz w:val="26"/>
          <w:szCs w:val="26"/>
          <w:rtl/>
        </w:rPr>
        <w:t>כן לאפשר שמירה על קשר מינימלי או נחוץ ומתאים</w:t>
      </w:r>
      <w:r w:rsidR="00125777">
        <w:rPr>
          <w:rFonts w:hint="cs"/>
          <w:sz w:val="26"/>
          <w:szCs w:val="26"/>
          <w:rtl/>
        </w:rPr>
        <w:t xml:space="preserve"> (ימי הולדת, חג שמח)</w:t>
      </w:r>
    </w:p>
    <w:p w:rsidR="00493167" w:rsidRDefault="00493167"/>
    <w:sectPr w:rsidR="00493167" w:rsidSect="005F07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1DF8"/>
    <w:multiLevelType w:val="hybridMultilevel"/>
    <w:tmpl w:val="20B072B2"/>
    <w:lvl w:ilvl="0" w:tplc="2D5EF2BE">
      <w:start w:val="4"/>
      <w:numFmt w:val="bullet"/>
      <w:lvlText w:val=""/>
      <w:lvlJc w:val="left"/>
      <w:pPr>
        <w:tabs>
          <w:tab w:val="num" w:pos="720"/>
        </w:tabs>
        <w:ind w:left="720" w:hanging="360"/>
      </w:pPr>
      <w:rPr>
        <w:rFonts w:ascii="Symbol" w:eastAsia="Times New Roman" w:hAnsi="Symbol" w:cs="David"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F3FCB"/>
    <w:multiLevelType w:val="hybridMultilevel"/>
    <w:tmpl w:val="22F0C9B2"/>
    <w:lvl w:ilvl="0" w:tplc="262816A8">
      <w:numFmt w:val="bullet"/>
      <w:lvlText w:val="-"/>
      <w:lvlJc w:val="left"/>
      <w:pPr>
        <w:ind w:left="720" w:hanging="360"/>
      </w:pPr>
      <w:rPr>
        <w:rFonts w:ascii="Gisha" w:eastAsiaTheme="minorHAnsi" w:hAnsi="Gisha"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96407"/>
    <w:multiLevelType w:val="hybridMultilevel"/>
    <w:tmpl w:val="DA903F52"/>
    <w:lvl w:ilvl="0" w:tplc="0409000F">
      <w:start w:val="1"/>
      <w:numFmt w:val="decimal"/>
      <w:lvlText w:val="%1."/>
      <w:lvlJc w:val="left"/>
      <w:pPr>
        <w:tabs>
          <w:tab w:val="num" w:pos="720"/>
        </w:tabs>
        <w:ind w:left="720" w:hanging="360"/>
      </w:pPr>
    </w:lvl>
    <w:lvl w:ilvl="1" w:tplc="299483D2">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78"/>
    <w:rsid w:val="00125777"/>
    <w:rsid w:val="002B619C"/>
    <w:rsid w:val="00493167"/>
    <w:rsid w:val="00592A78"/>
    <w:rsid w:val="005F07D6"/>
    <w:rsid w:val="0063367D"/>
    <w:rsid w:val="00683149"/>
    <w:rsid w:val="00840D2C"/>
    <w:rsid w:val="009721BF"/>
    <w:rsid w:val="00990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6B57B-80EB-4F68-9A4E-0BFC7C7F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A78"/>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2113</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dc:creator>
  <cp:lastModifiedBy>Revital</cp:lastModifiedBy>
  <cp:revision>2</cp:revision>
  <dcterms:created xsi:type="dcterms:W3CDTF">2017-12-02T10:09:00Z</dcterms:created>
  <dcterms:modified xsi:type="dcterms:W3CDTF">2017-12-02T10:09:00Z</dcterms:modified>
</cp:coreProperties>
</file>